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организации внеучебной работы</w:t>
            </w:r>
          </w:p>
          <w:p>
            <w:pPr>
              <w:jc w:val="center"/>
              <w:spacing w:after="0" w:line="240" w:lineRule="auto"/>
              <w:rPr>
                <w:sz w:val="32"/>
                <w:szCs w:val="32"/>
              </w:rPr>
            </w:pPr>
            <w:r>
              <w:rPr>
                <w:rFonts w:ascii="Times New Roman" w:hAnsi="Times New Roman" w:cs="Times New Roman"/>
                <w:color w:val="#000000"/>
                <w:sz w:val="32"/>
                <w:szCs w:val="32"/>
              </w:rPr>
              <w:t> Б1.В.02.03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организации внеучебной работы»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Б1.В.02.03 «Технологии организации внеучебной работы».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организации внеучебной работы»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45.142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традиций мира, основных философских, религиозных и этических учений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Б1.В.02.03 «Технологии организации внеучебной работы»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педагогического исследования в сфере географии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и проведение научно- исследовательской работы со школьниками по географии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Проектирование и разработка основных и дополнительных образовательных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УК-5,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830.403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Внеучебная работа как средство гармонического развития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педагогические требования к внеучебной работе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методы организации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показатели эффективности внеучебной работы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внеучебной работы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форм внеучебной работы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методы организации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организации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Внеучебная работа как средство гармонического развития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педагогические требования к внеучебной работе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методы организации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показатели эффективности внеучебной работы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Предполагаемые результаты реализации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внеучебной работы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организации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форм внеучебной работы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педагогические требования к внеучебной работе по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Предполагаемые результаты реализации внеучебной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366.9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Внеучебная работа как средство гармонического развития школьников</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Внеучебная работа как составная часть учебно-воспитательного процесса. Внеучебная работа как форма организации свободного времени учащихся. Цели внеурочной деятельности по географии. Задачи внеучебной работы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педагогические требования к внеучебной работе по географии</w:t>
            </w:r>
          </w:p>
        </w:tc>
      </w:tr>
      <w:tr>
        <w:trPr>
          <w:trHeight w:hRule="exact" w:val="457.6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содержания программы по географии. Углубление основных вопро-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 содержания школьного курса. Формирование умений и навыков исследовательского характера. Педагогические требования: общественно-полезная, профессиональная, экологическая краеведческая направленности; современность содержания и форм внеурочной деятельности; учет возрастных и индивидуальных особенностей интересов учащих-ся; сочетание педагогического руководства с самостоятельностью и добровольностью учащихся; системность, непрерывное развитие внеучебной работы. Самостоятельная деятельность обучающихся при решении различных проблем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методы организации внеучебной работы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Фронтальная, групповая и индивидуальная формы внеучебной работы по предмету географии. Формы внеучебной работы. Систематические формы: кружки, фа-культативы, конкурсы, викторины, коллективные, тематические, просмотры фильмов, тематические классные часы, выставки, соревнования, дни здоровья, родительские собрания. Эпизодические формы: олимпиады по географии, предметные недели, походы экскурсии, участие в различных акциях, экскурсионные поездки, городские мероприятия по курсу географии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показатели эффективности внеучебной работы по географии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показатели эффективности внеучебной работы по географии: повышение качества  знаний и умений школьников; интеллектуальный и эмоциональный настрой учащихся: повышение интереса    к    занятиям    в    классе    и    во    внеклассное время,    чтение дополнительной  литературы,  активное  участие  в  общественно полезной работе и др.; рост самостоятельности школьников во время урочной и домашней рабо-ты; повышение качества знаний по предмету географии и другим предме- там; приобретение умений работы с различными источниками информации; повышение общего уровня культуры 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организации внеучебной работы в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внеучебной работы. Основные принципы органи-зации внеучебной работы по географии: учёт возрастных особенностей; сочетание индиви- дуальных и коллективных форм работы; связь теории с практикой; доступность и нагляд- ность; включение в активную жизненную позицию; соответствие возрастным особенно- стям обучающихся, преемственность с технологиями учебной деятельности; опора на тра -диции и положительный опыт; опора на ценности воспитательной системы школы; сво- бодный выбор на основе личных интересов и склонностей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форм внеучебной работы по географии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Кружки. Факультативы. Семинары, консультации, встречи со специалистами. Олимпиады. Викторины и игры по географии. Предметная неделя по географии. Школьные  издания по географии. Экскурсии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методы организации внеучебной работы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и анализ программ и технологических карт занятий по программам внеурочной деятельности.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организации внеучебной работы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Составьте примерную программу кружковой работы с детьми и подростками.</w:t>
            </w:r>
          </w:p>
          <w:p>
            <w:pPr>
              <w:jc w:val="both"/>
              <w:spacing w:after="0" w:line="240" w:lineRule="auto"/>
              <w:rPr>
                <w:sz w:val="24"/>
                <w:szCs w:val="24"/>
              </w:rPr>
            </w:pPr>
            <w:r>
              <w:rPr>
                <w:rFonts w:ascii="Times New Roman" w:hAnsi="Times New Roman" w:cs="Times New Roman"/>
                <w:color w:val="#000000"/>
                <w:sz w:val="24"/>
                <w:szCs w:val="24"/>
              </w:rPr>
              <w:t> Составьте план создания клубного объединения для обучающихся.</w:t>
            </w:r>
          </w:p>
          <w:p>
            <w:pPr>
              <w:jc w:val="both"/>
              <w:spacing w:after="0" w:line="240" w:lineRule="auto"/>
              <w:rPr>
                <w:sz w:val="24"/>
                <w:szCs w:val="24"/>
              </w:rPr>
            </w:pPr>
            <w:r>
              <w:rPr>
                <w:rFonts w:ascii="Times New Roman" w:hAnsi="Times New Roman" w:cs="Times New Roman"/>
                <w:color w:val="#000000"/>
                <w:sz w:val="24"/>
                <w:szCs w:val="24"/>
              </w:rPr>
              <w:t> Приведите все аргументы в пользу организации семейного летнего отдыха.</w:t>
            </w:r>
          </w:p>
          <w:p>
            <w:pPr>
              <w:jc w:val="both"/>
              <w:spacing w:after="0" w:line="240" w:lineRule="auto"/>
              <w:rPr>
                <w:sz w:val="24"/>
                <w:szCs w:val="24"/>
              </w:rPr>
            </w:pPr>
            <w:r>
              <w:rPr>
                <w:rFonts w:ascii="Times New Roman" w:hAnsi="Times New Roman" w:cs="Times New Roman"/>
                <w:color w:val="#000000"/>
                <w:sz w:val="24"/>
                <w:szCs w:val="24"/>
              </w:rPr>
              <w:t> Составьте картотеку подвижных игр для детей и подростков.</w:t>
            </w:r>
          </w:p>
          <w:p>
            <w:pPr>
              <w:jc w:val="both"/>
              <w:spacing w:after="0" w:line="240" w:lineRule="auto"/>
              <w:rPr>
                <w:sz w:val="24"/>
                <w:szCs w:val="24"/>
              </w:rPr>
            </w:pPr>
            <w:r>
              <w:rPr>
                <w:rFonts w:ascii="Times New Roman" w:hAnsi="Times New Roman" w:cs="Times New Roman"/>
                <w:color w:val="#000000"/>
                <w:sz w:val="24"/>
                <w:szCs w:val="24"/>
              </w:rPr>
              <w:t> Составьте классификацию форм досуговой деятельности детей и подростков по месту жительств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педагогические требования к внеучебной работе по географии</w:t>
            </w:r>
          </w:p>
        </w:tc>
      </w:tr>
      <w:tr>
        <w:trPr>
          <w:trHeight w:hRule="exact" w:val="21.31518"/>
        </w:trPr>
        <w:tc>
          <w:tcPr>
            <w:tcW w:w="9640" w:type="dxa"/>
          </w:tcPr>
          <w:p/>
        </w:tc>
      </w:tr>
      <w:tr>
        <w:trPr>
          <w:trHeight w:hRule="exact" w:val="1033.9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Специфика досугово-развлекательной деятельности обучающихся. Организация игровой деятельности.</w:t>
            </w:r>
          </w:p>
          <w:p>
            <w:pPr>
              <w:jc w:val="left"/>
              <w:spacing w:after="0" w:line="240" w:lineRule="auto"/>
              <w:rPr>
                <w:sz w:val="24"/>
                <w:szCs w:val="24"/>
              </w:rPr>
            </w:pPr>
            <w:r>
              <w:rPr>
                <w:rFonts w:ascii="Times New Roman" w:hAnsi="Times New Roman" w:cs="Times New Roman"/>
                <w:color w:val="#000000"/>
                <w:sz w:val="24"/>
                <w:szCs w:val="24"/>
              </w:rPr>
              <w:t> 2.	Социальное творчество. Развитие художественного творчества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Организация трудовой деятельности в школе</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Предполагаемые результаты реализации внеучебной работы</w:t>
            </w:r>
          </w:p>
        </w:tc>
      </w:tr>
      <w:tr>
        <w:trPr>
          <w:trHeight w:hRule="exact" w:val="21.31501"/>
        </w:trPr>
        <w:tc>
          <w:tcPr>
            <w:tcW w:w="285" w:type="dxa"/>
          </w:tcPr>
          <w:p/>
        </w:tc>
        <w:tc>
          <w:tcPr>
            <w:tcW w:w="9356" w:type="dxa"/>
          </w:tcPr>
          <w:p/>
        </w:tc>
      </w:tr>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понимание социальной реальности и повседневной жизни.</w:t>
            </w:r>
          </w:p>
          <w:p>
            <w:pPr>
              <w:jc w:val="left"/>
              <w:spacing w:after="0" w:line="240" w:lineRule="auto"/>
              <w:rPr>
                <w:sz w:val="24"/>
                <w:szCs w:val="24"/>
              </w:rPr>
            </w:pPr>
            <w:r>
              <w:rPr>
                <w:rFonts w:ascii="Times New Roman" w:hAnsi="Times New Roman" w:cs="Times New Roman"/>
                <w:color w:val="#000000"/>
                <w:sz w:val="24"/>
                <w:szCs w:val="24"/>
              </w:rPr>
              <w:t> 2.	Сформированность позитивных отношений школьника к базовым ценностям общества (человек, семья, Отечество, природа, мир, знания, труд, культура).</w:t>
            </w:r>
          </w:p>
          <w:p>
            <w:pPr>
              <w:jc w:val="left"/>
              <w:spacing w:after="0" w:line="240" w:lineRule="auto"/>
              <w:rPr>
                <w:sz w:val="24"/>
                <w:szCs w:val="24"/>
              </w:rPr>
            </w:pPr>
            <w:r>
              <w:rPr>
                <w:rFonts w:ascii="Times New Roman" w:hAnsi="Times New Roman" w:cs="Times New Roman"/>
                <w:color w:val="#000000"/>
                <w:sz w:val="24"/>
                <w:szCs w:val="24"/>
              </w:rPr>
              <w:t> 3.	Освоение опыта по получению социальной, гражданской коммуникативной компетенций школьника.</w:t>
            </w:r>
          </w:p>
          <w:p>
            <w:pPr>
              <w:jc w:val="left"/>
              <w:spacing w:after="0" w:line="240" w:lineRule="auto"/>
              <w:rPr>
                <w:sz w:val="24"/>
                <w:szCs w:val="24"/>
              </w:rPr>
            </w:pPr>
            <w:r>
              <w:rPr>
                <w:rFonts w:ascii="Times New Roman" w:hAnsi="Times New Roman" w:cs="Times New Roman"/>
                <w:color w:val="#000000"/>
                <w:sz w:val="24"/>
                <w:szCs w:val="24"/>
              </w:rPr>
              <w:t> 4.	Увеличение числа детей, охваченных организованным досугом. Воспитание у детей толерантности, навыков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5.	Улучшение психологической и социальной комфортности в едином воспи-тательном пространстве.</w:t>
            </w:r>
          </w:p>
          <w:p>
            <w:pPr>
              <w:jc w:val="left"/>
              <w:spacing w:after="0" w:line="240" w:lineRule="auto"/>
              <w:rPr>
                <w:sz w:val="24"/>
                <w:szCs w:val="24"/>
              </w:rPr>
            </w:pPr>
            <w:r>
              <w:rPr>
                <w:rFonts w:ascii="Times New Roman" w:hAnsi="Times New Roman" w:cs="Times New Roman"/>
                <w:color w:val="#000000"/>
                <w:sz w:val="24"/>
                <w:szCs w:val="24"/>
              </w:rPr>
              <w:t> 6.	Развитие творческой активности каждого ребёнка.</w:t>
            </w:r>
          </w:p>
          <w:p>
            <w:pPr>
              <w:jc w:val="left"/>
              <w:spacing w:after="0" w:line="240" w:lineRule="auto"/>
              <w:rPr>
                <w:sz w:val="24"/>
                <w:szCs w:val="24"/>
              </w:rPr>
            </w:pPr>
            <w:r>
              <w:rPr>
                <w:rFonts w:ascii="Times New Roman" w:hAnsi="Times New Roman" w:cs="Times New Roman"/>
                <w:color w:val="#000000"/>
                <w:sz w:val="24"/>
                <w:szCs w:val="24"/>
              </w:rPr>
              <w:t> 7.	Укрепление связи между учеником и педагогом, семьёй и школой</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организации внеучебной работы»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Астахова,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Гиенко,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Маланичева,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Тырина,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Шаталова,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Барнаул:</w:t>
            </w:r>
            <w:r>
              <w:rPr/>
              <w:t xml:space="preserve"> </w:t>
            </w:r>
            <w:r>
              <w:rPr>
                <w:rFonts w:ascii="Times New Roman" w:hAnsi="Times New Roman" w:cs="Times New Roman"/>
                <w:color w:val="#000000"/>
                <w:sz w:val="24"/>
                <w:szCs w:val="24"/>
              </w:rPr>
              <w:t>Алтайский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978-5-88210-945-4.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http://www.iprbookshop.ru/102874.html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куратору:</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Дарьенкова,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Надеждина,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куратору:</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Нижний</w:t>
            </w:r>
            <w:r>
              <w:rPr/>
              <w:t xml:space="preserve"> </w:t>
            </w:r>
            <w:r>
              <w:rPr>
                <w:rFonts w:ascii="Times New Roman" w:hAnsi="Times New Roman" w:cs="Times New Roman"/>
                <w:color w:val="#000000"/>
                <w:sz w:val="24"/>
                <w:szCs w:val="24"/>
              </w:rPr>
              <w:t>Новгород:</w:t>
            </w:r>
            <w:r>
              <w:rPr/>
              <w:t xml:space="preserve"> </w:t>
            </w:r>
            <w:r>
              <w:rPr>
                <w:rFonts w:ascii="Times New Roman" w:hAnsi="Times New Roman" w:cs="Times New Roman"/>
                <w:color w:val="#000000"/>
                <w:sz w:val="24"/>
                <w:szCs w:val="24"/>
              </w:rPr>
              <w:t>Нижегородский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978-5-528-00411-2.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Сухоруков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Суслов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Дейко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p>
        </w:tc>
      </w:tr>
      <w:tr>
        <w:trPr>
          <w:trHeight w:hRule="exact" w:val="546.253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Пиваева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Ржаевская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Цыганкова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Шумеева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http://www.iprbookshop.ru/61037.html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http://www.iprbookshop.ru/68593.html</w:t>
            </w:r>
            <w:r>
              <w:rPr/>
              <w:t xml:space="preserve"> </w:t>
            </w:r>
          </w:p>
        </w:tc>
      </w:tr>
      <w:tr>
        <w:trPr>
          <w:trHeight w:hRule="exact" w:val="555.660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Перцик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https://urait.ru/bcode/490888</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Самигуллина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978-5-534-13906-8.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https://urait.ru/bcode/496758</w:t>
            </w:r>
            <w:r>
              <w:rPr/>
              <w:t xml:space="preserve"> </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66.2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9.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87.1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945.3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2024-2025_ФГОС3++2024_Бак-ЗФО-ПО(МО)(24)_plx_Технологии организации внеучебной работы</dc:title>
  <dc:creator>FastReport.NET</dc:creator>
</cp:coreProperties>
</file>